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Struktura foldera Create React App projekta</w:t>
      </w:r>
    </w:p>
    <w:p w:rsidR="00000000" w:rsidDel="00000000" w:rsidP="00000000" w:rsidRDefault="00000000" w:rsidRPr="00000000" w14:paraId="00000002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Nakon uspešnog kreiranja Create React App projekta, projektni folder će biti ispunjen sledećim folderima i fajlovima: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package.json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Sadrži metapodatke o projektu i njegovim zavisnostima.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Takođe sadrži i skripte koje se mogu pokrenuti pri radu na projektu, među kojima su: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  <w:rPr>
          <w:rFonts w:ascii="EB Garamond" w:cs="EB Garamond" w:eastAsia="EB Garamond" w:hAnsi="EB Garamond"/>
          <w:b w:val="1"/>
          <w:i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npm start</w:t>
      </w:r>
    </w:p>
    <w:p w:rsidR="00000000" w:rsidDel="00000000" w:rsidP="00000000" w:rsidRDefault="00000000" w:rsidRPr="00000000" w14:paraId="00000008">
      <w:pPr>
        <w:numPr>
          <w:ilvl w:val="3"/>
          <w:numId w:val="1"/>
        </w:numPr>
        <w:ind w:left="288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Pokreće razvojni server.</w:t>
      </w:r>
    </w:p>
    <w:p w:rsidR="00000000" w:rsidDel="00000000" w:rsidP="00000000" w:rsidRDefault="00000000" w:rsidRPr="00000000" w14:paraId="00000009">
      <w:pPr>
        <w:numPr>
          <w:ilvl w:val="3"/>
          <w:numId w:val="1"/>
        </w:numPr>
        <w:ind w:left="288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Koristi se za lokalni razvoj i automatski iznova učitava vašu aplikaciju svaki put kada napravite promene u izvornom kodu.</w:t>
      </w:r>
    </w:p>
    <w:p w:rsidR="00000000" w:rsidDel="00000000" w:rsidP="00000000" w:rsidRDefault="00000000" w:rsidRPr="00000000" w14:paraId="0000000A">
      <w:pPr>
        <w:numPr>
          <w:ilvl w:val="3"/>
          <w:numId w:val="1"/>
        </w:numPr>
        <w:ind w:left="288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Razvojni server takođe pruža korisne poruke o greškama i upozorenja.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npm build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3"/>
          <w:numId w:val="1"/>
        </w:numPr>
        <w:ind w:left="288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Ova skripta generiše kod vaše aplikacije spremnu za objavljivanje. </w:t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ind w:left="288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Optimizuje i minimizira kod, čineći ga efikasnijim za implementaciju. Izlaz se obično smešta u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/build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folder.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rFonts w:ascii="EB Garamond" w:cs="EB Garamond" w:eastAsia="EB Garamond" w:hAnsi="EB Garamond"/>
          <w:b w:val="1"/>
          <w:i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npm test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ind w:left="288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Ovom skriptom se pokreću napisani testovi.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ind w:left="288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Create React App je prema konfigurisanim postavkama podešen da koristi Jest kao pokretač testova.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rFonts w:ascii="EB Garamond" w:cs="EB Garamond" w:eastAsia="EB Garamond" w:hAnsi="EB Garamond"/>
          <w:b w:val="1"/>
          <w:i w:val="1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npm eject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ind w:left="288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Create React App automatski konfiguriše mnoge alate, uključujući Webpack, Babel i druge, kako bi olakšao proces razvoja aplikacije programeru. 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ind w:left="288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Ove konfiguracije se često održavaju automatski i skriveno od korisnika.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ind w:left="288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eject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je opcija koja omogućava da se projekat "izbaci" (eject) iz ovog automatske konfiguracije i da se dobije direktna kontrola nad konfiguracijom. 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ind w:left="288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eject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treba koristiti sa oprezom jer proces “izbacivanja” nije reverzibilan.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i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package-lock.json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Ovim fajlom se “zaključavaju” verzije zavisnosti projekta.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Tu je kako bi osigurao da drugi programeri koji su preuzeli projekat sa GitHub-a, GitLab-a ili slične platforme pri instalaciji zavisnosti instaliraju verzije zavisnosti sa kojima je garantovano da će projekat biti stabilan i da će raditi na predviđeni način.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i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README.md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Predstavlja dokumentaciju projekta.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Kroz njega se objašnjava šta je svrha projekta, kako ga pokrenuti i kako mu doprineti.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i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.gitignore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Tekstualna datoteka koja se koristi u Git repozitorijumu kako bi se odredilo koje fajlove i direktorijume Git treba ignorisati prilikom praćenja promena.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i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/node_modules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Folder koji sadrži fajlove svih zavisnosti projekta.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i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/public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Ovaj folder sadrži statičke, javno dostupne resurse.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index.html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Predstavlja ulaznu tačku React aplikacije.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Pri pokretanju React aplikacije, ovo je prvi fajl koji pregledač učitava.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 njemu se obično nalazi 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div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element čija sa sledećim atributom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 id=”root”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koji predstavlja element u koji će sve komponente biti umetnute.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manifest.json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Predstavlja skup metapodataka o samoj veb stranici kao što su njeno ime, opis, ikonice i druge postavke.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Koristi se za Progressive Web App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(PWA) funkcionalnosti.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i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/src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Izvorni kod (source code) React.js aplikacije je sadržan upravo u ovom folderu.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index.js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Kroz ovaj fajl se ostvaruje veza između index.html, preciznije, elementa koji ima atribut 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id=”root”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, i ostatka React koda.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Pri izvršavanju React aplikacije, ovo je prvi JavaScript fajl koji se pokrene.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Sledi pregled važnijih linija koda.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ind w:left="2880" w:hanging="360"/>
        <w:rPr>
          <w:rFonts w:ascii="EB Garamond" w:cs="EB Garamond" w:eastAsia="EB Garamond" w:hAnsi="EB Garamond"/>
          <w:b w:val="1"/>
          <w:i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const root = ReactDOM.createRoot(document.getElementById('root'));</w:t>
      </w:r>
    </w:p>
    <w:p w:rsidR="00000000" w:rsidDel="00000000" w:rsidP="00000000" w:rsidRDefault="00000000" w:rsidRPr="00000000" w14:paraId="00000030">
      <w:pPr>
        <w:numPr>
          <w:ilvl w:val="4"/>
          <w:numId w:val="1"/>
        </w:numPr>
        <w:ind w:left="360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ReactDOM.createRoot()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je metoda kojom se određuje u okviru kog elementa u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 index.html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fajlu će se renderovati React aplikacija, a zatim kreira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root.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4"/>
          <w:numId w:val="1"/>
        </w:numPr>
        <w:ind w:left="360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Celom linijom je ovaj podatak smešten u konstantnu promenljivu root.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ind w:left="2880" w:hanging="360"/>
        <w:rPr>
          <w:rFonts w:ascii="EB Garamond" w:cs="EB Garamond" w:eastAsia="EB Garamond" w:hAnsi="EB Garamond"/>
          <w:b w:val="1"/>
          <w:i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root.render(&lt;App /&gt;);</w:t>
      </w:r>
    </w:p>
    <w:p w:rsidR="00000000" w:rsidDel="00000000" w:rsidP="00000000" w:rsidRDefault="00000000" w:rsidRPr="00000000" w14:paraId="00000033">
      <w:pPr>
        <w:numPr>
          <w:ilvl w:val="4"/>
          <w:numId w:val="1"/>
        </w:numPr>
        <w:ind w:left="3600" w:hanging="36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Ovom linijom su glavna, 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App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komponenta, i sve u nju uključene komponente umetnute u 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index</w:t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html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fajl.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b w:val="1"/>
          <w:i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App.js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Glavna komponenta aplikacije u koju su uključene sve druge komponente.</w:t>
      </w:r>
    </w:p>
    <w:p w:rsidR="00000000" w:rsidDel="00000000" w:rsidP="00000000" w:rsidRDefault="00000000" w:rsidRPr="00000000" w14:paraId="00000036">
      <w:pPr>
        <w:ind w:left="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9">
      <w:pPr>
        <w:spacing w:line="240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EB Garamond" w:cs="EB Garamond" w:eastAsia="EB Garamond" w:hAnsi="EB Garamond"/>
          <w:sz w:val="16"/>
          <w:szCs w:val="16"/>
          <w:rtl w:val="0"/>
        </w:rPr>
        <w:t xml:space="preserve"> Progressive Web App (PWA) je vrsta veb aplikacije koja koristi moderne veb tehnologije kako bi pružila korisnicima iskustvo slično mobilnim aplikacijama, ali preko veba.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