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7DB" w:rsidRPr="007668EF" w:rsidRDefault="00FB67DB" w:rsidP="00FB67DB">
      <w:pPr>
        <w:pStyle w:val="Heading2"/>
        <w:spacing w:before="720" w:after="300"/>
        <w:rPr>
          <w:rFonts w:ascii="Segoe UI Light" w:hAnsi="Segoe UI Light" w:cs="Segoe UI Light"/>
          <w:color w:val="1E1E1E"/>
          <w:sz w:val="22"/>
          <w:szCs w:val="22"/>
        </w:rPr>
      </w:pPr>
      <w:bookmarkStart w:id="0" w:name="_GoBack"/>
      <w:bookmarkEnd w:id="0"/>
      <w:r w:rsidRPr="007668EF">
        <w:rPr>
          <w:rFonts w:ascii="Segoe UI Light" w:hAnsi="Segoe UI Light" w:cs="Segoe UI Light"/>
          <w:b/>
          <w:bCs/>
          <w:color w:val="1E1E1E"/>
          <w:sz w:val="22"/>
          <w:szCs w:val="22"/>
        </w:rPr>
        <w:t>Primeri</w:t>
      </w:r>
    </w:p>
    <w:p w:rsidR="00FB67DB" w:rsidRPr="007668EF" w:rsidRDefault="00FB67DB" w:rsidP="00FB67DB">
      <w:pPr>
        <w:pStyle w:val="Heading3"/>
        <w:spacing w:before="660" w:after="240"/>
        <w:rPr>
          <w:rFonts w:ascii="Segoe UI Light" w:hAnsi="Segoe UI Light" w:cs="Segoe UI Light"/>
          <w:b/>
          <w:bCs/>
          <w:color w:val="1E1E1E"/>
          <w:sz w:val="22"/>
          <w:szCs w:val="22"/>
        </w:rPr>
      </w:pPr>
      <w:r w:rsidRPr="007668EF">
        <w:rPr>
          <w:rFonts w:ascii="Segoe UI" w:hAnsi="Segoe UI" w:cs="Segoe UI"/>
          <w:color w:val="1E1E1E"/>
          <w:sz w:val="22"/>
          <w:szCs w:val="22"/>
        </w:rPr>
        <w:t>Primer 1</w:t>
      </w:r>
    </w:p>
    <w:p w:rsidR="00FB67DB" w:rsidRPr="007668EF" w:rsidRDefault="00FB67DB" w:rsidP="00FB67DB">
      <w:pPr>
        <w:pStyle w:val="NormalWeb"/>
        <w:rPr>
          <w:rFonts w:ascii="Segoe UI" w:hAnsi="Segoe UI" w:cs="Segoe UI"/>
          <w:color w:val="1E1E1E"/>
          <w:sz w:val="22"/>
          <w:szCs w:val="22"/>
        </w:rPr>
      </w:pPr>
      <w:r w:rsidRPr="007668EF">
        <w:rPr>
          <w:rFonts w:ascii="Segoe UI" w:hAnsi="Segoe UI" w:cs="Segoe UI"/>
          <w:color w:val="1E1E1E"/>
          <w:sz w:val="22"/>
          <w:szCs w:val="22"/>
        </w:rPr>
        <w:t>Kopirajte date primere podataka u sledeću tabelu i nalepite ih u ćeliju A1 novog radnog lista u programu Excel. Ako želite da formule izračunaju rezultate, izaberite formule, pritisnite taster F2, a zatim pritisnite taster Enter. Ako je potrebno, možete prilagoditi širinu kolona kako biste videli sve podatke u njima.</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3499"/>
        <w:gridCol w:w="5200"/>
        <w:gridCol w:w="1402"/>
      </w:tblGrid>
      <w:tr w:rsidR="00FB67DB"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Vrednost proizvoda</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Provizija</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Podaci</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100.000 RSD</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7.000 RSD</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250.000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200.000 RSD</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14.000 RSD</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300.000 RSD</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21.000 RSD</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400.000 RSD</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28.000 RSD</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Rezultati</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=SUMIF(A2:A5;"&gt;160.000";B2:B5)</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Zbir provizija za vrednosti imovine koje su veće od 160.000 RSD.</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63.000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=SUMIF(A2:A5;"&gt;160.000")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Zbir vrednosti imovine većih od 160.000 RSD.</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900.000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=SUMIF(A2:A5;300000;B2:B5)</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Zbir provizija za vrednosti imovine koje su jednake vrednosti od 300.000 RSD.</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21.000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=SUMIF(A2:A5;"&gt;" &amp; C2;B2:B5)</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Zbir provizija za vrednosti imovine većih od vrednosti u ćeliji C2.</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49.000 RSD</w:t>
            </w:r>
          </w:p>
        </w:tc>
      </w:tr>
    </w:tbl>
    <w:p w:rsidR="00FB67DB" w:rsidRPr="007668EF" w:rsidRDefault="00FB67DB" w:rsidP="00FB67DB">
      <w:pPr>
        <w:pStyle w:val="Heading3"/>
        <w:spacing w:before="660" w:after="240"/>
        <w:rPr>
          <w:rFonts w:ascii="Segoe UI Light" w:hAnsi="Segoe UI Light" w:cs="Segoe UI Light"/>
          <w:color w:val="1E1E1E"/>
          <w:sz w:val="22"/>
          <w:szCs w:val="22"/>
        </w:rPr>
      </w:pPr>
      <w:r w:rsidRPr="007668EF">
        <w:rPr>
          <w:rFonts w:ascii="Segoe UI" w:hAnsi="Segoe UI" w:cs="Segoe UI"/>
          <w:color w:val="1E1E1E"/>
          <w:sz w:val="22"/>
          <w:szCs w:val="22"/>
        </w:rPr>
        <w:t>Primer 2</w:t>
      </w:r>
    </w:p>
    <w:p w:rsidR="00FB67DB" w:rsidRPr="007668EF" w:rsidRDefault="00FB67DB" w:rsidP="00FB67DB">
      <w:pPr>
        <w:pStyle w:val="NormalWeb"/>
        <w:rPr>
          <w:rFonts w:ascii="Segoe UI" w:hAnsi="Segoe UI" w:cs="Segoe UI"/>
          <w:color w:val="1E1E1E"/>
          <w:sz w:val="22"/>
          <w:szCs w:val="22"/>
        </w:rPr>
      </w:pPr>
      <w:r w:rsidRPr="007668EF">
        <w:rPr>
          <w:rFonts w:ascii="Segoe UI" w:hAnsi="Segoe UI" w:cs="Segoe UI"/>
          <w:color w:val="1E1E1E"/>
          <w:sz w:val="22"/>
          <w:szCs w:val="22"/>
        </w:rPr>
        <w:t>Kopirajte date primere podataka u sledeću tabelu i nalepite ih u ćeliju A1 novog radnog lista u programu Excel. Ako želite da formule izračunaju rezultate, izaberite formule, pritisnite taster F2, a zatim pritisnite taster Enter. Ako je potrebno, možete prilagoditi širinu kolona kako biste videli sve podatke u njima.</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3266"/>
        <w:gridCol w:w="5508"/>
        <w:gridCol w:w="1327"/>
      </w:tblGrid>
      <w:tr w:rsidR="00FB67DB"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Kategorija</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Hrana</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Prodaja</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Povrće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Paprike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2.300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Povrće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Celer</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5.500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Voće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Narandže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800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Maslac</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400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Povrće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Šargarepe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4.200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Voće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Jabuke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1.200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Rezultat</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=SUMIF(A2:A7;"voće";C2:C7)</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Zbir prodaje hrane koja pripada kategoriji „Voće“.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2.000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=SUMIF(A2:A7;"povrće";C2:C7)</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Zbir prodaje hrane koja pripada kategoriji „Povrće“.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12.000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=SUMIF(B2:B7;"*ke";C2:C7)</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Zbir prodaje hrane čiji se naziv završava na „ke“ (paprike, kruške i jabuke).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4.300 RSD</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=SUMIF(A2:A7;"";C2:C7)</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Zbir prodaje hrane za koju nije navedena kategorija.</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400 RSD</w:t>
            </w:r>
          </w:p>
        </w:tc>
      </w:tr>
    </w:tbl>
    <w:p w:rsidR="00FB67DB" w:rsidRPr="007668EF" w:rsidRDefault="00FB67DB" w:rsidP="00FB67DB">
      <w:pPr>
        <w:rPr>
          <w:rFonts w:cstheme="minorHAnsi"/>
          <w:lang w:val="sr-Latn-RS"/>
        </w:rPr>
      </w:pPr>
    </w:p>
    <w:p w:rsidR="00FB67DB" w:rsidRPr="00FB67DB" w:rsidRDefault="00FB67DB" w:rsidP="00FB67DB">
      <w:pPr>
        <w:pStyle w:val="NormalWeb"/>
        <w:shd w:val="clear" w:color="auto" w:fill="FFFFFF"/>
        <w:rPr>
          <w:rFonts w:ascii="Segoe UI" w:hAnsi="Segoe UI" w:cs="Segoe UI"/>
          <w:color w:val="1E1E1E"/>
          <w:sz w:val="22"/>
          <w:szCs w:val="22"/>
          <w:lang w:val="sr-Latn-RS"/>
        </w:rPr>
      </w:pPr>
      <w:r w:rsidRPr="00FB67DB">
        <w:rPr>
          <w:rFonts w:ascii="Segoe UI" w:hAnsi="Segoe UI" w:cs="Segoe UI"/>
          <w:color w:val="1E1E1E"/>
          <w:sz w:val="22"/>
          <w:szCs w:val="22"/>
          <w:lang w:val="sr-Latn-RS"/>
        </w:rPr>
        <w:t>Koristite funkciju COUNTIF, jednu od </w:t>
      </w:r>
      <w:hyperlink r:id="rId5" w:history="1">
        <w:r w:rsidRPr="00FB67DB">
          <w:rPr>
            <w:rStyle w:val="Hyperlink"/>
            <w:rFonts w:ascii="Segoe UI" w:eastAsiaTheme="majorEastAsia" w:hAnsi="Segoe UI" w:cs="Segoe UI"/>
            <w:color w:val="006CB4"/>
            <w:sz w:val="22"/>
            <w:szCs w:val="22"/>
            <w:lang w:val="sr-Latn-RS"/>
          </w:rPr>
          <w:t>statističkih funkcija</w:t>
        </w:r>
      </w:hyperlink>
      <w:r w:rsidRPr="00FB67DB">
        <w:rPr>
          <w:rFonts w:ascii="Segoe UI" w:hAnsi="Segoe UI" w:cs="Segoe UI"/>
          <w:color w:val="1E1E1E"/>
          <w:sz w:val="22"/>
          <w:szCs w:val="22"/>
          <w:lang w:val="sr-Latn-RS"/>
        </w:rPr>
        <w:t> za prebrojavanje ćelija koje ispunjavaju kriterijum; na primer, da biste prebrojali koliko puta se određeni grad pojavljuje na spisku klijenata.</w:t>
      </w:r>
    </w:p>
    <w:p w:rsidR="00FB67DB" w:rsidRPr="007668EF" w:rsidRDefault="00FB67DB" w:rsidP="00FB67DB">
      <w:pPr>
        <w:pStyle w:val="NormalWeb"/>
        <w:shd w:val="clear" w:color="auto" w:fill="FFFFFF"/>
        <w:rPr>
          <w:rFonts w:ascii="Segoe UI" w:hAnsi="Segoe UI" w:cs="Segoe UI"/>
          <w:color w:val="1E1E1E"/>
          <w:sz w:val="22"/>
          <w:szCs w:val="22"/>
        </w:rPr>
      </w:pPr>
      <w:r w:rsidRPr="007668EF">
        <w:rPr>
          <w:rFonts w:ascii="Segoe UI" w:hAnsi="Segoe UI" w:cs="Segoe UI"/>
          <w:color w:val="1E1E1E"/>
          <w:sz w:val="22"/>
          <w:szCs w:val="22"/>
        </w:rPr>
        <w:t>U najprostijem obliku, COUNTIF kaže:</w:t>
      </w:r>
    </w:p>
    <w:p w:rsidR="00FB67DB" w:rsidRPr="007668EF" w:rsidRDefault="00FB67DB" w:rsidP="00FB67DB">
      <w:pPr>
        <w:pStyle w:val="NormalWeb"/>
        <w:numPr>
          <w:ilvl w:val="0"/>
          <w:numId w:val="3"/>
        </w:numPr>
        <w:shd w:val="clear" w:color="auto" w:fill="FFFFFF"/>
        <w:ind w:left="1170"/>
        <w:rPr>
          <w:rFonts w:ascii="Segoe UI" w:hAnsi="Segoe UI" w:cs="Segoe UI"/>
          <w:color w:val="1E1E1E"/>
          <w:sz w:val="22"/>
          <w:szCs w:val="22"/>
        </w:rPr>
      </w:pPr>
      <w:r w:rsidRPr="007668EF">
        <w:rPr>
          <w:rFonts w:ascii="Segoe UI" w:hAnsi="Segoe UI" w:cs="Segoe UI"/>
          <w:color w:val="1E1E1E"/>
          <w:sz w:val="22"/>
          <w:szCs w:val="22"/>
        </w:rPr>
        <w:t>= COUNTIF(Gde želite da tražite?, Šta želite da tražite?)</w:t>
      </w:r>
    </w:p>
    <w:p w:rsidR="00FB67DB" w:rsidRPr="007668EF" w:rsidRDefault="00FB67DB" w:rsidP="00FB67DB">
      <w:pPr>
        <w:pStyle w:val="NormalWeb"/>
        <w:shd w:val="clear" w:color="auto" w:fill="FFFFFF"/>
        <w:rPr>
          <w:rFonts w:ascii="Segoe UI" w:hAnsi="Segoe UI" w:cs="Segoe UI"/>
          <w:color w:val="1E1E1E"/>
          <w:sz w:val="22"/>
          <w:szCs w:val="22"/>
        </w:rPr>
      </w:pPr>
      <w:r w:rsidRPr="007668EF">
        <w:rPr>
          <w:rFonts w:ascii="Segoe UI" w:hAnsi="Segoe UI" w:cs="Segoe UI"/>
          <w:color w:val="1E1E1E"/>
          <w:sz w:val="22"/>
          <w:szCs w:val="22"/>
        </w:rPr>
        <w:t>Na primer:</w:t>
      </w:r>
    </w:p>
    <w:p w:rsidR="00FB67DB" w:rsidRPr="007668EF" w:rsidRDefault="00FB67DB" w:rsidP="00FB67DB">
      <w:pPr>
        <w:pStyle w:val="NormalWeb"/>
        <w:numPr>
          <w:ilvl w:val="0"/>
          <w:numId w:val="4"/>
        </w:numPr>
        <w:shd w:val="clear" w:color="auto" w:fill="FFFFFF"/>
        <w:ind w:left="1170"/>
        <w:rPr>
          <w:rFonts w:ascii="Segoe UI" w:hAnsi="Segoe UI" w:cs="Segoe UI"/>
          <w:color w:val="1E1E1E"/>
          <w:sz w:val="22"/>
          <w:szCs w:val="22"/>
        </w:rPr>
      </w:pPr>
      <w:r w:rsidRPr="007668EF">
        <w:rPr>
          <w:rFonts w:ascii="Segoe UI" w:hAnsi="Segoe UI" w:cs="Segoe UI"/>
          <w:color w:val="1E1E1E"/>
          <w:sz w:val="22"/>
          <w:szCs w:val="22"/>
        </w:rPr>
        <w:t>=COUNTIF(A2:A5,"London")</w:t>
      </w:r>
    </w:p>
    <w:p w:rsidR="00FB67DB" w:rsidRPr="007668EF" w:rsidRDefault="00FB67DB" w:rsidP="00FB67DB">
      <w:pPr>
        <w:pStyle w:val="NormalWeb"/>
        <w:numPr>
          <w:ilvl w:val="0"/>
          <w:numId w:val="4"/>
        </w:numPr>
        <w:shd w:val="clear" w:color="auto" w:fill="FFFFFF"/>
        <w:ind w:left="1170"/>
        <w:rPr>
          <w:rFonts w:ascii="Segoe UI" w:hAnsi="Segoe UI" w:cs="Segoe UI"/>
          <w:color w:val="1E1E1E"/>
          <w:sz w:val="22"/>
          <w:szCs w:val="22"/>
        </w:rPr>
      </w:pPr>
      <w:r w:rsidRPr="007668EF">
        <w:rPr>
          <w:rFonts w:ascii="Segoe UI" w:hAnsi="Segoe UI" w:cs="Segoe UI"/>
          <w:color w:val="1E1E1E"/>
          <w:sz w:val="22"/>
          <w:szCs w:val="22"/>
        </w:rPr>
        <w:t>=COUNTIF(A2:A5,A4)</w:t>
      </w:r>
    </w:p>
    <w:p w:rsidR="00FB67DB" w:rsidRPr="007668EF" w:rsidRDefault="00FB67DB" w:rsidP="00FB67DB">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Primeri</w:t>
      </w:r>
    </w:p>
    <w:p w:rsidR="00FB67DB" w:rsidRPr="007668EF" w:rsidRDefault="00FB67DB" w:rsidP="00FB67DB">
      <w:pPr>
        <w:pStyle w:val="NormalWeb"/>
        <w:rPr>
          <w:rFonts w:ascii="Segoe UI" w:hAnsi="Segoe UI" w:cs="Segoe UI"/>
          <w:color w:val="1E1E1E"/>
          <w:sz w:val="22"/>
          <w:szCs w:val="22"/>
        </w:rPr>
      </w:pPr>
      <w:r w:rsidRPr="007668EF">
        <w:rPr>
          <w:rFonts w:ascii="Segoe UI" w:hAnsi="Segoe UI" w:cs="Segoe UI"/>
          <w:color w:val="1E1E1E"/>
          <w:sz w:val="22"/>
          <w:szCs w:val="22"/>
        </w:rPr>
        <w:t>Da biste koristili ove primere u programu Excel, kopirajte podatke iz dolenavedene tabele i nalepite ih u ćeliju A1 novog radnog lista.</w:t>
      </w:r>
    </w:p>
    <w:tbl>
      <w:tblPr>
        <w:tblW w:w="808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4447"/>
        <w:gridCol w:w="3634"/>
      </w:tblGrid>
      <w:tr w:rsidR="00FB67DB"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Podaci</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Podaci</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jabuke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32</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pomorandže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54</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breskve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75</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jabuke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86</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=COUNTIF(A2:A5;"jabuke")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Prebrojava ćelije koje sadrže „jabuke“ u opsegu ćelija od A2 do A5. Rezultat je 2.</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lastRenderedPageBreak/>
              <w:t>=COUNTIF(A2:A5,A4)</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Prebrojava ćelije koje sadrže „breskve“ (vrednost ćelije A4) u opsegu ćelija od A2 do A5. Rezultat je 1.</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=COUNTIF(A2:A5,A2)+COUNTIF(A2:A5,A3)</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Prebrojava jabuke (vrednost u ćeliji A2) i pomorandže (vrednost u ćeliji A3) u opsegu ćelija od A2 do A5. Rezultat je 3. Ova formula koristi dva COUNTIF izraza da bi navela više kriterijuma, jedan kriterijum po izrazu. Možete da koristite i funkciju </w:t>
            </w:r>
            <w:hyperlink r:id="rId6" w:history="1">
              <w:r w:rsidRPr="007668EF">
                <w:rPr>
                  <w:rStyle w:val="Hyperlink"/>
                  <w:rFonts w:ascii="Segoe UI" w:eastAsiaTheme="majorEastAsia" w:hAnsi="Segoe UI" w:cs="Segoe UI"/>
                  <w:color w:val="006CB4"/>
                  <w:sz w:val="22"/>
                  <w:szCs w:val="22"/>
                </w:rPr>
                <w:t>COUNTIFS</w:t>
              </w:r>
            </w:hyperlink>
            <w:r w:rsidRPr="007668EF">
              <w:rPr>
                <w:rFonts w:ascii="Segoe UI" w:hAnsi="Segoe UI" w:cs="Segoe UI"/>
                <w:color w:val="1E1E1E"/>
                <w:sz w:val="22"/>
                <w:szCs w:val="22"/>
              </w:rPr>
              <w:t>.</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=COUNTIF(B2:B5;"&gt;55")</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Prebrojava ćelije sa vrednostima većim od 55 u opsegu ćelija od B2 do B5. Rezultat je 2.</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=COUNTIF(B2:B5,"&lt;&gt;"&amp;B4)</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Prebrojava ćelije sa vrednošću koja nije jednaka 75 u opsegu ćelija od B2 do B5. Znak „ampersand“ (&amp;) objedinjuje operator poređenja nije jednako sa i vrednost u ćeliji B4 tako da glasi =COUNTIF(B2:B5,"&lt;&gt;75"). Rezultat je 3.</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=COUNTIF(B2:B5,"&gt;=32")-COUNTIF(B2:B5,"&lt;=85")</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Prebrojava ćelije sa vrednošću većom od(&gt;) ili jednakom (=) 32 i manjom od (&lt;) ili jednakom (=) 85 u opsegu ćelija od B2 do B5. Rezultat je 1.</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=COUNTIF(A2:A5,"*")</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Prebrojava ćelije koje sadrže bilo kakav tekst u opsegu ćelija od A2 do A5. Zvezdica (*) se koristi kako bi se zadalo podudaranje sa bilo kojim znakom. Rezultat je 4.</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=COUNTIF(A2:A5,"?????es")</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Prebrojava ćelije koje imaju tačno 7 znakova i koji se završavaju slovima „es“ u opsegu ćelija od A2 do A5. Upitnik (?) se koristi kako bi se zadalo podudaranje sa pojedinačnim znakovima. Rezultat je 2.</w:t>
            </w:r>
          </w:p>
        </w:tc>
      </w:tr>
    </w:tbl>
    <w:p w:rsidR="00FB67DB" w:rsidRPr="007668EF" w:rsidRDefault="00FB67DB" w:rsidP="00FB67DB">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lastRenderedPageBreak/>
        <w:t>Uobičajeni problemi</w:t>
      </w:r>
    </w:p>
    <w:tbl>
      <w:tblPr>
        <w:tblW w:w="808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2346"/>
        <w:gridCol w:w="5735"/>
      </w:tblGrid>
      <w:tr w:rsidR="00FB67DB"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Problem</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U čemu je problem</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Vraćena je pogrešna vrednost za dugačke niske.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Funkcija COUNTIF daje netačne rezultate kada je koristite za podudaranje niski dužih od 255 znakova.</w:t>
            </w:r>
          </w:p>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Za podudaranje niski dužih od 255 znakova koristite </w:t>
            </w:r>
            <w:hyperlink r:id="rId7" w:history="1">
              <w:r w:rsidRPr="007668EF">
                <w:rPr>
                  <w:rStyle w:val="Hyperlink"/>
                  <w:rFonts w:ascii="Segoe UI" w:eastAsiaTheme="majorEastAsia" w:hAnsi="Segoe UI" w:cs="Segoe UI"/>
                  <w:color w:val="006CB4"/>
                  <w:sz w:val="22"/>
                  <w:szCs w:val="22"/>
                </w:rPr>
                <w:t>funkciju CONCATENATE</w:t>
              </w:r>
            </w:hyperlink>
            <w:r w:rsidRPr="007668EF">
              <w:rPr>
                <w:rFonts w:ascii="Segoe UI" w:hAnsi="Segoe UI" w:cs="Segoe UI"/>
                <w:color w:val="1E1E1E"/>
                <w:sz w:val="22"/>
                <w:szCs w:val="22"/>
              </w:rPr>
              <w:t> ili operator spajanja &amp;. Na primer, =COUNTIF(A2:A5,"dugačka niska"&amp;"još jedna dugačka niska").</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Vrednost nije vraćena kad je očekujete.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Proverite da li je argument </w:t>
            </w:r>
            <w:r w:rsidRPr="007668EF">
              <w:rPr>
                <w:rFonts w:ascii="Segoe UI" w:hAnsi="Segoe UI" w:cs="Segoe UI"/>
                <w:b/>
                <w:bCs/>
                <w:i/>
                <w:iCs/>
                <w:color w:val="1E1E1E"/>
                <w:sz w:val="22"/>
                <w:szCs w:val="22"/>
              </w:rPr>
              <w:t>kriterijum</w:t>
            </w:r>
            <w:r w:rsidRPr="007668EF">
              <w:rPr>
                <w:rFonts w:ascii="Segoe UI" w:hAnsi="Segoe UI" w:cs="Segoe UI"/>
                <w:color w:val="1E1E1E"/>
                <w:sz w:val="22"/>
                <w:szCs w:val="22"/>
              </w:rPr>
              <w:t> pod navodnicima.</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Formula COUNTIF prima grešku #VALUE! kada upućuje na drugi radni list.</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Ova greška se javlja kada formula koja sadrži funkciju upućuje na ćelije ili opseg u zatvorenoj radnoj svesci, a ćelije se izračunavaju. Da bi ova funkcija radila, druga radna sveska mora biti otvorena.</w:t>
            </w:r>
          </w:p>
        </w:tc>
      </w:tr>
    </w:tbl>
    <w:p w:rsidR="00FB67DB" w:rsidRPr="007668EF" w:rsidRDefault="00FB67DB" w:rsidP="00FB67DB">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Najbolje prakse</w:t>
      </w:r>
    </w:p>
    <w:tbl>
      <w:tblPr>
        <w:tblW w:w="808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2111"/>
        <w:gridCol w:w="5970"/>
      </w:tblGrid>
      <w:tr w:rsidR="00FB67DB"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Uradite sledeće</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Zašto</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Imajte u vidu da COUNTIF zanemaruje mala i velika slova u tekstualnim niskama.</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i/>
                <w:iCs/>
                <w:color w:val="1E1E1E"/>
                <w:sz w:val="22"/>
                <w:szCs w:val="22"/>
              </w:rPr>
              <w:t>Kriterijumi</w:t>
            </w:r>
            <w:r w:rsidRPr="007668EF">
              <w:rPr>
                <w:rFonts w:ascii="Segoe UI" w:hAnsi="Segoe UI" w:cs="Segoe UI"/>
                <w:b/>
                <w:bCs/>
                <w:color w:val="1E1E1E"/>
                <w:sz w:val="22"/>
                <w:szCs w:val="22"/>
              </w:rPr>
              <w:t> </w:t>
            </w:r>
            <w:r w:rsidRPr="007668EF">
              <w:rPr>
                <w:rFonts w:ascii="Segoe UI" w:hAnsi="Segoe UI" w:cs="Segoe UI"/>
                <w:color w:val="1E1E1E"/>
                <w:sz w:val="22"/>
                <w:szCs w:val="22"/>
              </w:rPr>
              <w:t>ne razlikuju velika i mala slova. Drugim rečima, niska „jabuke“ i niska „JABUKE“ podudaraće se sa istim ćelijama.</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Koristite džoker znakove.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U </w:t>
            </w:r>
            <w:r w:rsidRPr="007668EF">
              <w:rPr>
                <w:rFonts w:ascii="Segoe UI" w:hAnsi="Segoe UI" w:cs="Segoe UI"/>
                <w:b/>
                <w:bCs/>
                <w:i/>
                <w:iCs/>
                <w:color w:val="1E1E1E"/>
                <w:sz w:val="22"/>
                <w:szCs w:val="22"/>
              </w:rPr>
              <w:t>kriterijumima</w:t>
            </w:r>
            <w:r w:rsidRPr="007668EF">
              <w:rPr>
                <w:rFonts w:ascii="Segoe UI" w:hAnsi="Segoe UI" w:cs="Segoe UI"/>
                <w:color w:val="1E1E1E"/>
                <w:sz w:val="22"/>
                <w:szCs w:val="22"/>
              </w:rPr>
              <w:t> možete da koristite džoker znakove – znak pitanja (?) i zvezdicu (*). Znak pitanja se podudara sa bilo kojim pojedinačnim znakom. Zvezdica se podudara sa bilo kojim nizom znakova. Ako želite da pronađete pravi znak pitanja ili zvezdicu, otkucajte znak tilda (~) ispred traženog znaka.</w:t>
            </w:r>
          </w:p>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Na primer, =COUNTIF(A2:A5,"jabuka?") će prebrojati sve instance reči "jabuka" poslednjim slovom koje može da se razlikuje.</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Uverite se da podaci ne sadrže pogrešne znakove.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 xml:space="preserve">Kad prebrojavate tekstualne vrednosti, uverite se da podaci ne sadrže razmake na početku, razmake na kraju ili znakove koji neće biti odštampani i da se pravi ( ' ili " ) i zakrivljeni ( ‘ ili “) navodnici dosledno koriste. U </w:t>
            </w:r>
            <w:r w:rsidRPr="007668EF">
              <w:rPr>
                <w:rFonts w:ascii="Segoe UI" w:hAnsi="Segoe UI" w:cs="Segoe UI"/>
                <w:color w:val="1E1E1E"/>
                <w:sz w:val="22"/>
                <w:szCs w:val="22"/>
              </w:rPr>
              <w:lastRenderedPageBreak/>
              <w:t>suprotnom, COUNTIF može da vrati neočekivanu vrednost.</w:t>
            </w:r>
          </w:p>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Pokušajte sa </w:t>
            </w:r>
            <w:hyperlink r:id="rId8" w:history="1">
              <w:r w:rsidRPr="007668EF">
                <w:rPr>
                  <w:rStyle w:val="Hyperlink"/>
                  <w:rFonts w:ascii="Segoe UI" w:eastAsiaTheme="majorEastAsia" w:hAnsi="Segoe UI" w:cs="Segoe UI"/>
                  <w:color w:val="006CB4"/>
                  <w:sz w:val="22"/>
                  <w:szCs w:val="22"/>
                </w:rPr>
                <w:t>funkcijom CLEAN</w:t>
              </w:r>
            </w:hyperlink>
            <w:r w:rsidRPr="007668EF">
              <w:rPr>
                <w:rFonts w:ascii="Segoe UI" w:hAnsi="Segoe UI" w:cs="Segoe UI"/>
                <w:color w:val="1E1E1E"/>
                <w:sz w:val="22"/>
                <w:szCs w:val="22"/>
              </w:rPr>
              <w:t> ili </w:t>
            </w:r>
            <w:hyperlink r:id="rId9" w:history="1">
              <w:r w:rsidRPr="007668EF">
                <w:rPr>
                  <w:rStyle w:val="Hyperlink"/>
                  <w:rFonts w:ascii="Segoe UI" w:eastAsiaTheme="majorEastAsia" w:hAnsi="Segoe UI" w:cs="Segoe UI"/>
                  <w:color w:val="006CB4"/>
                  <w:sz w:val="22"/>
                  <w:szCs w:val="22"/>
                </w:rPr>
                <w:t>funkcijom TRIM</w:t>
              </w:r>
            </w:hyperlink>
            <w:r w:rsidRPr="007668EF">
              <w:rPr>
                <w:rFonts w:ascii="Segoe UI" w:hAnsi="Segoe UI" w:cs="Segoe UI"/>
                <w:color w:val="1E1E1E"/>
                <w:sz w:val="22"/>
                <w:szCs w:val="22"/>
              </w:rPr>
              <w:t>.</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Da biste lakše radili, koristite imenovane opsege</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 podržava imenovane opsege u formuli (kao što je =COUNTIF(</w:t>
            </w:r>
            <w:r w:rsidRPr="007668EF">
              <w:rPr>
                <w:rFonts w:ascii="Segoe UI" w:hAnsi="Segoe UI" w:cs="Segoe UI"/>
                <w:b/>
                <w:bCs/>
                <w:color w:val="1E1E1E"/>
                <w:sz w:val="22"/>
                <w:szCs w:val="22"/>
              </w:rPr>
              <w:t>voće</w:t>
            </w:r>
            <w:r w:rsidRPr="007668EF">
              <w:rPr>
                <w:rFonts w:ascii="Segoe UI" w:hAnsi="Segoe UI" w:cs="Segoe UI"/>
                <w:color w:val="1E1E1E"/>
                <w:sz w:val="22"/>
                <w:szCs w:val="22"/>
              </w:rPr>
              <w:t>,"&gt;=32")-COUNTIF</w:t>
            </w:r>
            <w:r w:rsidRPr="007668EF">
              <w:rPr>
                <w:rFonts w:ascii="Segoe UI" w:hAnsi="Segoe UI" w:cs="Segoe UI"/>
                <w:b/>
                <w:bCs/>
                <w:color w:val="1E1E1E"/>
                <w:sz w:val="22"/>
                <w:szCs w:val="22"/>
              </w:rPr>
              <w:t>(</w:t>
            </w:r>
            <w:r w:rsidRPr="007668EF">
              <w:rPr>
                <w:rFonts w:ascii="Segoe UI" w:hAnsi="Segoe UI" w:cs="Segoe UI"/>
                <w:color w:val="1E1E1E"/>
                <w:sz w:val="22"/>
                <w:szCs w:val="22"/>
              </w:rPr>
              <w:t>voće,"&gt;85"). Imenovani opseg se može nalaziti na trenutnom radnom listu, drugom radnom listu u istoj radnoj svesci ili u drugoj radnoj svesci. Da biste mogli da upućujete na drugu radnu svesku, ta druga radna sveska takođe mora da bude otvorena.</w:t>
            </w:r>
          </w:p>
        </w:tc>
      </w:tr>
    </w:tbl>
    <w:p w:rsidR="00FB67DB" w:rsidRPr="007668EF" w:rsidRDefault="00FB67DB" w:rsidP="00FB67DB">
      <w:pPr>
        <w:rPr>
          <w:rFonts w:cstheme="minorHAnsi"/>
          <w:lang w:val="sr-Latn-RS"/>
        </w:rPr>
      </w:pPr>
    </w:p>
    <w:p w:rsidR="00FB67DB" w:rsidRPr="007668EF" w:rsidRDefault="00FB67DB" w:rsidP="00FB67DB">
      <w:pPr>
        <w:rPr>
          <w:rFonts w:cstheme="minorHAnsi"/>
          <w:lang w:val="sr-Latn-RS"/>
        </w:rPr>
      </w:pPr>
      <w:r w:rsidRPr="007668EF">
        <w:rPr>
          <w:rFonts w:cstheme="minorHAnsi"/>
          <w:lang w:val="sr-Latn-RS"/>
        </w:rPr>
        <w:t>AVERAGEIF</w:t>
      </w:r>
    </w:p>
    <w:p w:rsidR="00FB67DB" w:rsidRPr="00FB67DB" w:rsidRDefault="00FB67DB" w:rsidP="00FB67DB">
      <w:pPr>
        <w:rPr>
          <w:rFonts w:ascii="Segoe UI" w:hAnsi="Segoe UI" w:cs="Segoe UI"/>
          <w:color w:val="1E1E1E"/>
          <w:shd w:val="clear" w:color="auto" w:fill="FFFFFF"/>
          <w:lang w:val="sr-Latn-RS"/>
        </w:rPr>
      </w:pPr>
      <w:r w:rsidRPr="00FB67DB">
        <w:rPr>
          <w:rFonts w:ascii="Segoe UI" w:hAnsi="Segoe UI" w:cs="Segoe UI"/>
          <w:color w:val="1E1E1E"/>
          <w:shd w:val="clear" w:color="auto" w:fill="FFFFFF"/>
          <w:lang w:val="sr-Latn-RS"/>
        </w:rPr>
        <w:t>Rezultat ove funkcije je prosečna vrednost (aritmetička sredina) svih ćelija u opsegu koje zadovoljavaju date kriterijume.</w:t>
      </w:r>
    </w:p>
    <w:p w:rsidR="00FB67DB" w:rsidRPr="007668EF" w:rsidRDefault="00FB67DB" w:rsidP="00FB67DB">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Sintaksa</w:t>
      </w:r>
    </w:p>
    <w:p w:rsidR="00FB67DB" w:rsidRPr="007668EF" w:rsidRDefault="00FB67DB" w:rsidP="00FB67DB">
      <w:pPr>
        <w:pStyle w:val="NormalWeb"/>
        <w:rPr>
          <w:rFonts w:ascii="Segoe UI" w:hAnsi="Segoe UI" w:cs="Segoe UI"/>
          <w:color w:val="1E1E1E"/>
          <w:sz w:val="22"/>
          <w:szCs w:val="22"/>
        </w:rPr>
      </w:pPr>
      <w:r w:rsidRPr="007668EF">
        <w:rPr>
          <w:rFonts w:ascii="Segoe UI" w:hAnsi="Segoe UI" w:cs="Segoe UI"/>
          <w:color w:val="1E1E1E"/>
          <w:sz w:val="22"/>
          <w:szCs w:val="22"/>
        </w:rPr>
        <w:t>AVERAGEIF(range, criteria, [average_range])</w:t>
      </w:r>
    </w:p>
    <w:p w:rsidR="00FB67DB" w:rsidRPr="007668EF" w:rsidRDefault="00FB67DB" w:rsidP="00FB67DB">
      <w:pPr>
        <w:pStyle w:val="NormalWeb"/>
        <w:rPr>
          <w:rFonts w:ascii="Segoe UI" w:hAnsi="Segoe UI" w:cs="Segoe UI"/>
          <w:color w:val="1E1E1E"/>
          <w:sz w:val="22"/>
          <w:szCs w:val="22"/>
        </w:rPr>
      </w:pPr>
      <w:r w:rsidRPr="007668EF">
        <w:rPr>
          <w:rFonts w:ascii="Segoe UI" w:hAnsi="Segoe UI" w:cs="Segoe UI"/>
          <w:color w:val="1E1E1E"/>
          <w:sz w:val="22"/>
          <w:szCs w:val="22"/>
        </w:rPr>
        <w:t>Sintaksa funkcije AVERAGEIF ima sledeće argumente:</w:t>
      </w:r>
    </w:p>
    <w:p w:rsidR="00FB67DB" w:rsidRPr="007668EF" w:rsidRDefault="00FB67DB" w:rsidP="00FB67DB">
      <w:pPr>
        <w:pStyle w:val="NormalWeb"/>
        <w:numPr>
          <w:ilvl w:val="0"/>
          <w:numId w:val="5"/>
        </w:numPr>
        <w:ind w:left="1170"/>
        <w:rPr>
          <w:rFonts w:ascii="Segoe UI" w:hAnsi="Segoe UI" w:cs="Segoe UI"/>
          <w:color w:val="1E1E1E"/>
          <w:sz w:val="22"/>
          <w:szCs w:val="22"/>
        </w:rPr>
      </w:pPr>
      <w:r w:rsidRPr="007668EF">
        <w:rPr>
          <w:rFonts w:ascii="Segoe UI" w:hAnsi="Segoe UI" w:cs="Segoe UI"/>
          <w:b/>
          <w:bCs/>
          <w:color w:val="1E1E1E"/>
          <w:sz w:val="22"/>
          <w:szCs w:val="22"/>
        </w:rPr>
        <w:t>Opseg</w:t>
      </w:r>
      <w:r w:rsidRPr="007668EF">
        <w:rPr>
          <w:rFonts w:ascii="Segoe UI" w:hAnsi="Segoe UI" w:cs="Segoe UI"/>
          <w:color w:val="1E1E1E"/>
          <w:sz w:val="22"/>
          <w:szCs w:val="22"/>
        </w:rPr>
        <w:t>    Obavezno. Skup ćelija na koji se primenjuje funkcija za izračunavanje prosečne vrednosti i koji obuhvata brojeve ili imena, nizove ili reference koje sadrže brojeve.</w:t>
      </w:r>
    </w:p>
    <w:p w:rsidR="00FB67DB" w:rsidRPr="007668EF" w:rsidRDefault="00FB67DB" w:rsidP="00FB67DB">
      <w:pPr>
        <w:pStyle w:val="NormalWeb"/>
        <w:numPr>
          <w:ilvl w:val="0"/>
          <w:numId w:val="5"/>
        </w:numPr>
        <w:ind w:left="1170"/>
        <w:rPr>
          <w:rFonts w:ascii="Segoe UI" w:hAnsi="Segoe UI" w:cs="Segoe UI"/>
          <w:color w:val="1E1E1E"/>
          <w:sz w:val="22"/>
          <w:szCs w:val="22"/>
        </w:rPr>
      </w:pPr>
      <w:r w:rsidRPr="007668EF">
        <w:rPr>
          <w:rFonts w:ascii="Segoe UI" w:hAnsi="Segoe UI" w:cs="Segoe UI"/>
          <w:b/>
          <w:bCs/>
          <w:color w:val="1E1E1E"/>
          <w:sz w:val="22"/>
          <w:szCs w:val="22"/>
        </w:rPr>
        <w:t>Kriterijumi</w:t>
      </w:r>
      <w:r w:rsidRPr="007668EF">
        <w:rPr>
          <w:rFonts w:ascii="Segoe UI" w:hAnsi="Segoe UI" w:cs="Segoe UI"/>
          <w:color w:val="1E1E1E"/>
          <w:sz w:val="22"/>
          <w:szCs w:val="22"/>
        </w:rPr>
        <w:t>    Obavezno. Kriterijumi u obliku broja, izraza, reference na ćeliju ili teksta pomoću kojih se definiše na koje ćelije se primenjuje funkcija za izračunavanje prosečne vrednosti. Na primer, kriterijumi mogu biti izraženi vrednostima 32, "32", "&gt;32", "jabuke" ili B4.</w:t>
      </w:r>
    </w:p>
    <w:p w:rsidR="00FB67DB" w:rsidRPr="007668EF" w:rsidRDefault="00FB67DB" w:rsidP="00FB67DB">
      <w:pPr>
        <w:pStyle w:val="NormalWeb"/>
        <w:numPr>
          <w:ilvl w:val="0"/>
          <w:numId w:val="5"/>
        </w:numPr>
        <w:ind w:left="1170"/>
        <w:rPr>
          <w:rFonts w:ascii="Segoe UI" w:hAnsi="Segoe UI" w:cs="Segoe UI"/>
          <w:color w:val="1E1E1E"/>
          <w:sz w:val="22"/>
          <w:szCs w:val="22"/>
        </w:rPr>
      </w:pPr>
      <w:r w:rsidRPr="007668EF">
        <w:rPr>
          <w:rFonts w:ascii="Segoe UI" w:hAnsi="Segoe UI" w:cs="Segoe UI"/>
          <w:b/>
          <w:bCs/>
          <w:color w:val="1E1E1E"/>
          <w:sz w:val="22"/>
          <w:szCs w:val="22"/>
        </w:rPr>
        <w:t>Prosečni_opseg</w:t>
      </w:r>
      <w:r w:rsidRPr="007668EF">
        <w:rPr>
          <w:rFonts w:ascii="Segoe UI" w:hAnsi="Segoe UI" w:cs="Segoe UI"/>
          <w:color w:val="1E1E1E"/>
          <w:sz w:val="22"/>
          <w:szCs w:val="22"/>
        </w:rPr>
        <w:t>    Opcionalno. Stvarni skup ćelija na koje će se primenjivati funkcija za izračunavanje prosečne vrednosti. Ako se izostavi, koristi se opseg.</w:t>
      </w:r>
    </w:p>
    <w:p w:rsidR="00FB67DB" w:rsidRPr="007668EF" w:rsidRDefault="00FB67DB" w:rsidP="00FB67DB">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Primedbe</w:t>
      </w:r>
    </w:p>
    <w:p w:rsidR="00FB67DB" w:rsidRPr="007668EF" w:rsidRDefault="00FB67DB" w:rsidP="00FB67DB">
      <w:pPr>
        <w:pStyle w:val="NormalWeb"/>
        <w:numPr>
          <w:ilvl w:val="0"/>
          <w:numId w:val="6"/>
        </w:numPr>
        <w:ind w:left="1170"/>
        <w:rPr>
          <w:rFonts w:ascii="Segoe UI" w:hAnsi="Segoe UI" w:cs="Segoe UI"/>
          <w:color w:val="1E1E1E"/>
          <w:sz w:val="22"/>
          <w:szCs w:val="22"/>
        </w:rPr>
      </w:pPr>
      <w:r w:rsidRPr="007668EF">
        <w:rPr>
          <w:rFonts w:ascii="Segoe UI" w:hAnsi="Segoe UI" w:cs="Segoe UI"/>
          <w:color w:val="1E1E1E"/>
          <w:sz w:val="22"/>
          <w:szCs w:val="22"/>
        </w:rPr>
        <w:t>Ćelije u opsegu koje sadrže vrednosti TRUE ili FALSE se zanemaruju.</w:t>
      </w:r>
    </w:p>
    <w:p w:rsidR="00FB67DB" w:rsidRPr="007668EF" w:rsidRDefault="00FB67DB" w:rsidP="00FB67DB">
      <w:pPr>
        <w:pStyle w:val="NormalWeb"/>
        <w:numPr>
          <w:ilvl w:val="0"/>
          <w:numId w:val="6"/>
        </w:numPr>
        <w:ind w:left="1170"/>
        <w:rPr>
          <w:rFonts w:ascii="Segoe UI" w:hAnsi="Segoe UI" w:cs="Segoe UI"/>
          <w:color w:val="1E1E1E"/>
          <w:sz w:val="22"/>
          <w:szCs w:val="22"/>
        </w:rPr>
      </w:pPr>
      <w:r w:rsidRPr="007668EF">
        <w:rPr>
          <w:rFonts w:ascii="Segoe UI" w:hAnsi="Segoe UI" w:cs="Segoe UI"/>
          <w:color w:val="1E1E1E"/>
          <w:sz w:val="22"/>
          <w:szCs w:val="22"/>
        </w:rPr>
        <w:t>Ako je ćelija u prosečnom_opsegu prazna, funkcija AVERAGEIF je zanemaruje.</w:t>
      </w:r>
    </w:p>
    <w:p w:rsidR="00FB67DB" w:rsidRPr="007668EF" w:rsidRDefault="00FB67DB" w:rsidP="00FB67DB">
      <w:pPr>
        <w:pStyle w:val="NormalWeb"/>
        <w:numPr>
          <w:ilvl w:val="0"/>
          <w:numId w:val="6"/>
        </w:numPr>
        <w:ind w:left="1170"/>
        <w:rPr>
          <w:rFonts w:ascii="Segoe UI" w:hAnsi="Segoe UI" w:cs="Segoe UI"/>
          <w:color w:val="1E1E1E"/>
          <w:sz w:val="22"/>
          <w:szCs w:val="22"/>
        </w:rPr>
      </w:pPr>
      <w:r w:rsidRPr="007668EF">
        <w:rPr>
          <w:rFonts w:ascii="Segoe UI" w:hAnsi="Segoe UI" w:cs="Segoe UI"/>
          <w:color w:val="1E1E1E"/>
          <w:sz w:val="22"/>
          <w:szCs w:val="22"/>
        </w:rPr>
        <w:t>Ako je argument range prazna ili tekstualna vrednost, funkcija AVERAGEIF daje #DIV0! ako su argumenti datuma niske koje se ne mogu raščlaniti na važeće datume.</w:t>
      </w:r>
    </w:p>
    <w:p w:rsidR="00FB67DB" w:rsidRPr="007668EF" w:rsidRDefault="00FB67DB" w:rsidP="00FB67DB">
      <w:pPr>
        <w:pStyle w:val="NormalWeb"/>
        <w:numPr>
          <w:ilvl w:val="0"/>
          <w:numId w:val="6"/>
        </w:numPr>
        <w:ind w:left="1170"/>
        <w:rPr>
          <w:rFonts w:ascii="Segoe UI" w:hAnsi="Segoe UI" w:cs="Segoe UI"/>
          <w:color w:val="1E1E1E"/>
          <w:sz w:val="22"/>
          <w:szCs w:val="22"/>
        </w:rPr>
      </w:pPr>
      <w:r w:rsidRPr="007668EF">
        <w:rPr>
          <w:rFonts w:ascii="Segoe UI" w:hAnsi="Segoe UI" w:cs="Segoe UI"/>
          <w:color w:val="1E1E1E"/>
          <w:sz w:val="22"/>
          <w:szCs w:val="22"/>
        </w:rPr>
        <w:t>Ako je ćelija u kriterijumu prazna, funkcija AVERAGEIF tretira je kao da ima vrednost 0.</w:t>
      </w:r>
    </w:p>
    <w:p w:rsidR="00FB67DB" w:rsidRPr="007668EF" w:rsidRDefault="00FB67DB" w:rsidP="00FB67DB">
      <w:pPr>
        <w:pStyle w:val="NormalWeb"/>
        <w:numPr>
          <w:ilvl w:val="0"/>
          <w:numId w:val="6"/>
        </w:numPr>
        <w:ind w:left="1170"/>
        <w:rPr>
          <w:rFonts w:ascii="Segoe UI" w:hAnsi="Segoe UI" w:cs="Segoe UI"/>
          <w:color w:val="1E1E1E"/>
          <w:sz w:val="22"/>
          <w:szCs w:val="22"/>
        </w:rPr>
      </w:pPr>
      <w:r w:rsidRPr="007668EF">
        <w:rPr>
          <w:rFonts w:ascii="Segoe UI" w:hAnsi="Segoe UI" w:cs="Segoe UI"/>
          <w:color w:val="1E1E1E"/>
          <w:sz w:val="22"/>
          <w:szCs w:val="22"/>
        </w:rPr>
        <w:lastRenderedPageBreak/>
        <w:t>Ako ćelija u opsegu ne ispunjava kriterijume, funkcija AVERAGEIF vraća #DIV/0! #DIV/0!.</w:t>
      </w:r>
    </w:p>
    <w:p w:rsidR="00FB67DB" w:rsidRPr="007668EF" w:rsidRDefault="00FB67DB" w:rsidP="00FB67DB">
      <w:pPr>
        <w:pStyle w:val="NormalWeb"/>
        <w:numPr>
          <w:ilvl w:val="0"/>
          <w:numId w:val="6"/>
        </w:numPr>
        <w:ind w:left="1170"/>
        <w:rPr>
          <w:rFonts w:ascii="Segoe UI" w:hAnsi="Segoe UI" w:cs="Segoe UI"/>
          <w:color w:val="1E1E1E"/>
          <w:sz w:val="22"/>
          <w:szCs w:val="22"/>
        </w:rPr>
      </w:pPr>
      <w:r w:rsidRPr="007668EF">
        <w:rPr>
          <w:rFonts w:ascii="Segoe UI" w:hAnsi="Segoe UI" w:cs="Segoe UI"/>
          <w:color w:val="1E1E1E"/>
          <w:sz w:val="22"/>
          <w:szCs w:val="22"/>
        </w:rPr>
        <w:t>U kriterijumu možete da koristite džoker znakove, znak pitanja (?) i zvezdicu (*). Znak pitanja zamenjuje bilo koji znak, a zvezdica bilo koji niz znakova. Ako želite da pronađete pravi znak pitanja ili zvezdicu, upišite znak tilda (~) ispred tog znaka.</w:t>
      </w:r>
    </w:p>
    <w:p w:rsidR="00FB67DB" w:rsidRPr="007668EF" w:rsidRDefault="00FB67DB" w:rsidP="00FB67DB">
      <w:pPr>
        <w:pStyle w:val="NormalWeb"/>
        <w:numPr>
          <w:ilvl w:val="0"/>
          <w:numId w:val="6"/>
        </w:numPr>
        <w:ind w:left="1170"/>
        <w:rPr>
          <w:rFonts w:ascii="Segoe UI" w:hAnsi="Segoe UI" w:cs="Segoe UI"/>
          <w:color w:val="1E1E1E"/>
          <w:sz w:val="22"/>
          <w:szCs w:val="22"/>
        </w:rPr>
      </w:pPr>
      <w:r w:rsidRPr="007668EF">
        <w:rPr>
          <w:rFonts w:ascii="Segoe UI" w:hAnsi="Segoe UI" w:cs="Segoe UI"/>
          <w:color w:val="1E1E1E"/>
          <w:sz w:val="22"/>
          <w:szCs w:val="22"/>
        </w:rPr>
        <w:t>Prosečni_opseg ne mora da ima istu veličinu i oblik kao opseg. Ćelije za koje se zapravo računa prosečna vrednost određuju se pomoću gornje leve ćelije u prosečnom_opsegu koja predstavlja početnu ćeliju, a zatim se uključuju ćelije koje, po veličini i obliku, odgovaraju opsegu. Na primer:</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1998"/>
        <w:gridCol w:w="2862"/>
        <w:gridCol w:w="5241"/>
      </w:tblGrid>
      <w:tr w:rsidR="00FB67DB" w:rsidRPr="007668EF" w:rsidTr="006F66C5">
        <w:trPr>
          <w:tblHeader/>
        </w:trPr>
        <w:tc>
          <w:tcPr>
            <w:tcW w:w="0" w:type="auto"/>
            <w:shd w:val="clear" w:color="auto" w:fill="DADADA"/>
            <w:tcMar>
              <w:top w:w="60" w:type="dxa"/>
              <w:left w:w="150" w:type="dxa"/>
              <w:bottom w:w="60"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Ako je opseg</w:t>
            </w:r>
          </w:p>
        </w:tc>
        <w:tc>
          <w:tcPr>
            <w:tcW w:w="0" w:type="auto"/>
            <w:shd w:val="clear" w:color="auto" w:fill="DADADA"/>
            <w:tcMar>
              <w:top w:w="60" w:type="dxa"/>
              <w:left w:w="150" w:type="dxa"/>
              <w:bottom w:w="60"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A prosečni_opseg je</w:t>
            </w:r>
          </w:p>
        </w:tc>
        <w:tc>
          <w:tcPr>
            <w:tcW w:w="0" w:type="auto"/>
            <w:shd w:val="clear" w:color="auto" w:fill="DADADA"/>
            <w:tcMar>
              <w:top w:w="60" w:type="dxa"/>
              <w:left w:w="150" w:type="dxa"/>
              <w:bottom w:w="60"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Ćelije za koje se vrši izračunavanje jesu</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A1:A5</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B1:B5</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B1:B5</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A1:A5</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B1:B3</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B1:B5</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A1:B4</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C1:D4</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C1:D4</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A1:B4</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C1:C2</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C1:D4</w:t>
            </w:r>
          </w:p>
        </w:tc>
      </w:tr>
    </w:tbl>
    <w:p w:rsidR="00FB67DB" w:rsidRPr="007668EF" w:rsidRDefault="00FB67DB" w:rsidP="00FB67DB">
      <w:pPr>
        <w:pStyle w:val="ocpalertsection"/>
        <w:shd w:val="clear" w:color="auto" w:fill="F3F3F3"/>
        <w:spacing w:before="0" w:after="0"/>
        <w:rPr>
          <w:rFonts w:ascii="Segoe UI" w:hAnsi="Segoe UI" w:cs="Segoe UI"/>
          <w:color w:val="1E1E1E"/>
          <w:sz w:val="22"/>
          <w:szCs w:val="22"/>
        </w:rPr>
      </w:pPr>
      <w:r w:rsidRPr="007668EF">
        <w:rPr>
          <w:rFonts w:ascii="Segoe UI" w:hAnsi="Segoe UI" w:cs="Segoe UI"/>
          <w:b/>
          <w:bCs/>
          <w:color w:val="1E1E1E"/>
          <w:sz w:val="22"/>
          <w:szCs w:val="22"/>
        </w:rPr>
        <w:t>Napomena: </w:t>
      </w:r>
      <w:r w:rsidRPr="007668EF">
        <w:rPr>
          <w:rFonts w:ascii="Segoe UI" w:hAnsi="Segoe UI" w:cs="Segoe UI"/>
          <w:color w:val="1E1E1E"/>
          <w:sz w:val="22"/>
          <w:szCs w:val="22"/>
        </w:rPr>
        <w:t>Funkcija AVERAGEIF meri centralnu tendenciju, koja predstavlja centralno mesto grupe brojeva u statističkoj raspodeli. Tri najčešće mere centralne tendencije jesu:</w:t>
      </w:r>
    </w:p>
    <w:p w:rsidR="00FB67DB" w:rsidRPr="007668EF" w:rsidRDefault="00FB67DB" w:rsidP="00FB67DB">
      <w:pPr>
        <w:pStyle w:val="NormalWeb"/>
        <w:numPr>
          <w:ilvl w:val="0"/>
          <w:numId w:val="7"/>
        </w:numPr>
        <w:ind w:left="1170"/>
        <w:rPr>
          <w:rFonts w:ascii="Segoe UI" w:hAnsi="Segoe UI" w:cs="Segoe UI"/>
          <w:color w:val="1E1E1E"/>
          <w:sz w:val="22"/>
          <w:szCs w:val="22"/>
        </w:rPr>
      </w:pPr>
      <w:r w:rsidRPr="007668EF">
        <w:rPr>
          <w:rFonts w:ascii="Segoe UI" w:hAnsi="Segoe UI" w:cs="Segoe UI"/>
          <w:b/>
          <w:bCs/>
          <w:color w:val="1E1E1E"/>
          <w:sz w:val="22"/>
          <w:szCs w:val="22"/>
        </w:rPr>
        <w:t>Prosek</w:t>
      </w:r>
      <w:r w:rsidRPr="007668EF">
        <w:rPr>
          <w:rFonts w:ascii="Segoe UI" w:hAnsi="Segoe UI" w:cs="Segoe UI"/>
          <w:color w:val="1E1E1E"/>
          <w:sz w:val="22"/>
          <w:szCs w:val="22"/>
        </w:rPr>
        <w:t>     daje aritmetičku sredinu, a izračunava se tako što se zbir brojeva iz neke grupe podeli sa njihovim ukupnim brojem. Na primer, aritmetička sredina brojeva 2, 3, 3, 5, 7 i 10 je 30 podeljeno sa 6, tj. 5.</w:t>
      </w:r>
    </w:p>
    <w:p w:rsidR="00FB67DB" w:rsidRPr="007668EF" w:rsidRDefault="00FB67DB" w:rsidP="00FB67DB">
      <w:pPr>
        <w:pStyle w:val="NormalWeb"/>
        <w:numPr>
          <w:ilvl w:val="0"/>
          <w:numId w:val="7"/>
        </w:numPr>
        <w:ind w:left="1170"/>
        <w:rPr>
          <w:rFonts w:ascii="Segoe UI" w:hAnsi="Segoe UI" w:cs="Segoe UI"/>
          <w:color w:val="1E1E1E"/>
          <w:sz w:val="22"/>
          <w:szCs w:val="22"/>
        </w:rPr>
      </w:pPr>
      <w:r w:rsidRPr="007668EF">
        <w:rPr>
          <w:rFonts w:ascii="Segoe UI" w:hAnsi="Segoe UI" w:cs="Segoe UI"/>
          <w:b/>
          <w:bCs/>
          <w:color w:val="1E1E1E"/>
          <w:sz w:val="22"/>
          <w:szCs w:val="22"/>
        </w:rPr>
        <w:t>Medijana</w:t>
      </w:r>
      <w:r w:rsidRPr="007668EF">
        <w:rPr>
          <w:rFonts w:ascii="Segoe UI" w:hAnsi="Segoe UI" w:cs="Segoe UI"/>
          <w:color w:val="1E1E1E"/>
          <w:sz w:val="22"/>
          <w:szCs w:val="22"/>
        </w:rPr>
        <w:t>     daje središnji broj grupe brojeva, što znači da polovina brojeva ima vrednosti koje su veće od srednje, a polovina ima vrednosti koje su manje od nje. Na primer, srednja vrednost brojeva 2, 3, 3, 5, 7, i 10 je broj 4.</w:t>
      </w:r>
    </w:p>
    <w:p w:rsidR="00FB67DB" w:rsidRPr="007668EF" w:rsidRDefault="00FB67DB" w:rsidP="00FB67DB">
      <w:pPr>
        <w:pStyle w:val="NormalWeb"/>
        <w:numPr>
          <w:ilvl w:val="0"/>
          <w:numId w:val="7"/>
        </w:numPr>
        <w:ind w:left="1170"/>
        <w:rPr>
          <w:rFonts w:ascii="Segoe UI" w:hAnsi="Segoe UI" w:cs="Segoe UI"/>
          <w:color w:val="1E1E1E"/>
          <w:sz w:val="22"/>
          <w:szCs w:val="22"/>
        </w:rPr>
      </w:pPr>
      <w:r w:rsidRPr="007668EF">
        <w:rPr>
          <w:rFonts w:ascii="Segoe UI" w:hAnsi="Segoe UI" w:cs="Segoe UI"/>
          <w:b/>
          <w:bCs/>
          <w:color w:val="1E1E1E"/>
          <w:sz w:val="22"/>
          <w:szCs w:val="22"/>
        </w:rPr>
        <w:t>Modus</w:t>
      </w:r>
      <w:r w:rsidRPr="007668EF">
        <w:rPr>
          <w:rFonts w:ascii="Segoe UI" w:hAnsi="Segoe UI" w:cs="Segoe UI"/>
          <w:color w:val="1E1E1E"/>
          <w:sz w:val="22"/>
          <w:szCs w:val="22"/>
        </w:rPr>
        <w:t>     tj. broj koji se najčešće javlja u grupi brojeva. Na primer, modus brojeva 2, 3, 3, 5, 7 i 10 je broj 3.</w:t>
      </w:r>
    </w:p>
    <w:p w:rsidR="00FB67DB" w:rsidRPr="007668EF" w:rsidRDefault="00FB67DB" w:rsidP="00FB67DB">
      <w:pPr>
        <w:pStyle w:val="NormalWeb"/>
        <w:rPr>
          <w:rFonts w:ascii="Segoe UI" w:hAnsi="Segoe UI" w:cs="Segoe UI"/>
          <w:color w:val="1E1E1E"/>
          <w:sz w:val="22"/>
          <w:szCs w:val="22"/>
        </w:rPr>
      </w:pPr>
      <w:r w:rsidRPr="007668EF">
        <w:rPr>
          <w:rFonts w:ascii="Segoe UI" w:hAnsi="Segoe UI" w:cs="Segoe UI"/>
          <w:color w:val="1E1E1E"/>
          <w:sz w:val="22"/>
          <w:szCs w:val="22"/>
        </w:rPr>
        <w:t>Ove tri mere centralne tendencije imaju jednaku vrednost za simetričnu raspodelu brojeva u grupi. Za asimetričnu raspodelu brojeva u grupi one mogu biti različite.</w:t>
      </w:r>
    </w:p>
    <w:p w:rsidR="00FB67DB" w:rsidRPr="007668EF" w:rsidRDefault="00FB67DB" w:rsidP="00FB67DB">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Primeri</w:t>
      </w:r>
    </w:p>
    <w:p w:rsidR="00FB67DB" w:rsidRPr="007668EF" w:rsidRDefault="00FB67DB" w:rsidP="00FB67DB">
      <w:pPr>
        <w:pStyle w:val="NormalWeb"/>
        <w:rPr>
          <w:rFonts w:ascii="Segoe UI" w:hAnsi="Segoe UI" w:cs="Segoe UI"/>
          <w:color w:val="1E1E1E"/>
          <w:sz w:val="22"/>
          <w:szCs w:val="22"/>
        </w:rPr>
      </w:pPr>
      <w:r w:rsidRPr="007668EF">
        <w:rPr>
          <w:rFonts w:ascii="Segoe UI" w:hAnsi="Segoe UI" w:cs="Segoe UI"/>
          <w:color w:val="1E1E1E"/>
          <w:sz w:val="22"/>
          <w:szCs w:val="22"/>
        </w:rPr>
        <w:t>Kopirajte date primere podataka u sledeću tabelu i nalepite ih u ćeliju A1 novog radnog lista u programu Excel. Ako želite da formule izračunaju rezultate, izaberite formule, pritisnite taster F2, a zatim pritisnite taster Enter. Ako je potrebno, možete prilagoditi širinu kolona kako biste videli sve podatke u njima.</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3959"/>
        <w:gridCol w:w="4988"/>
        <w:gridCol w:w="1154"/>
      </w:tblGrid>
      <w:tr w:rsidR="00FB67DB" w:rsidRPr="007668EF" w:rsidTr="006F66C5">
        <w:trPr>
          <w:tblHeader/>
        </w:trPr>
        <w:tc>
          <w:tcPr>
            <w:tcW w:w="0" w:type="auto"/>
            <w:shd w:val="clear" w:color="auto" w:fill="DADADA"/>
            <w:tcMar>
              <w:top w:w="60" w:type="dxa"/>
              <w:left w:w="150" w:type="dxa"/>
              <w:bottom w:w="60"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Vrednost proizvoda</w:t>
            </w:r>
          </w:p>
        </w:tc>
        <w:tc>
          <w:tcPr>
            <w:tcW w:w="0" w:type="auto"/>
            <w:shd w:val="clear" w:color="auto" w:fill="DADADA"/>
            <w:tcMar>
              <w:top w:w="60" w:type="dxa"/>
              <w:left w:w="150" w:type="dxa"/>
              <w:bottom w:w="60"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Provizija</w:t>
            </w:r>
          </w:p>
        </w:tc>
        <w:tc>
          <w:tcPr>
            <w:tcW w:w="0" w:type="auto"/>
            <w:shd w:val="clear" w:color="auto" w:fill="DADADA"/>
            <w:tcMar>
              <w:top w:w="60" w:type="dxa"/>
              <w:left w:w="150" w:type="dxa"/>
              <w:bottom w:w="60" w:type="dxa"/>
              <w:right w:w="150" w:type="dxa"/>
            </w:tcMar>
            <w:hideMark/>
          </w:tcPr>
          <w:p w:rsidR="00FB67DB" w:rsidRPr="007668EF" w:rsidRDefault="00FB67DB" w:rsidP="006F66C5">
            <w:pPr>
              <w:rPr>
                <w:rFonts w:ascii="Segoe UI Semibold" w:hAnsi="Segoe UI Semibold" w:cs="Segoe UI Semibold"/>
                <w:color w:val="393939"/>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100000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7000</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200000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14000</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lastRenderedPageBreak/>
              <w:t>300000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21000</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400000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28000</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Rezultat</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=AVERAGEIF(B2:B5;"&lt;23000")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Srednja vrednost svih provizija manjih od 23000. Tri od četiri vrednosti provizije ispunjavaju ovaj uslov i njihov zbir iznosi 42.000.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14000</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=AVERAGEIF(A2:A5,"&lt;250000")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Srednja vrednost svih vrednosti imovine manjih od 25.0000. Dve od četiri vrednosti imovine ispunjavaju ovaj uslov i njihov zbir iznosi 300.000.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150000</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=AVERAGEIF(A2:A5;"&lt;95000")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Srednja vrednost svih vrednosti imovine manjih od 95.000. Zato što nijedna vrednost imovine ne ispunjava ovaj uslov, funkcija AVERAGEIF će dati vrednost greške #DIV/0! jer pokušava da podeli vrednost sa brojem 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#DIV/0!</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=AVERAGEIF(A2:A5;"&gt;250.000";B2:B5)</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Srednja vrednost svih provizija sa vrednošću imovine većom od 250.000. Dve vrednosti provizije ispunjavaju ovaj uslov i njihov zbir iznosi 49.000.</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24500</w:t>
            </w:r>
          </w:p>
        </w:tc>
      </w:tr>
    </w:tbl>
    <w:p w:rsidR="00FB67DB" w:rsidRPr="007668EF" w:rsidRDefault="00FB67DB" w:rsidP="00FB67DB">
      <w:pPr>
        <w:pStyle w:val="Heading3"/>
        <w:spacing w:before="660" w:after="24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Primer 2</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4640"/>
        <w:gridCol w:w="4307"/>
        <w:gridCol w:w="1154"/>
      </w:tblGrid>
      <w:tr w:rsidR="00FB67DB" w:rsidRPr="007668EF" w:rsidTr="006F66C5">
        <w:trPr>
          <w:tblHeader/>
        </w:trPr>
        <w:tc>
          <w:tcPr>
            <w:tcW w:w="0" w:type="auto"/>
            <w:shd w:val="clear" w:color="auto" w:fill="DADADA"/>
            <w:tcMar>
              <w:top w:w="60" w:type="dxa"/>
              <w:left w:w="150" w:type="dxa"/>
              <w:bottom w:w="60"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Oblast</w:t>
            </w:r>
          </w:p>
        </w:tc>
        <w:tc>
          <w:tcPr>
            <w:tcW w:w="0" w:type="auto"/>
            <w:shd w:val="clear" w:color="auto" w:fill="DADADA"/>
            <w:tcMar>
              <w:top w:w="60" w:type="dxa"/>
              <w:left w:w="150" w:type="dxa"/>
              <w:bottom w:w="60" w:type="dxa"/>
              <w:right w:w="150" w:type="dxa"/>
            </w:tcMar>
            <w:hideMark/>
          </w:tcPr>
          <w:p w:rsidR="00FB67DB" w:rsidRPr="007668EF" w:rsidRDefault="00FB67DB"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Zarade (u hiljadama)</w:t>
            </w:r>
          </w:p>
        </w:tc>
        <w:tc>
          <w:tcPr>
            <w:tcW w:w="0" w:type="auto"/>
            <w:shd w:val="clear" w:color="auto" w:fill="DADADA"/>
            <w:tcMar>
              <w:top w:w="60" w:type="dxa"/>
              <w:left w:w="150" w:type="dxa"/>
              <w:bottom w:w="60" w:type="dxa"/>
              <w:right w:w="150" w:type="dxa"/>
            </w:tcMar>
            <w:hideMark/>
          </w:tcPr>
          <w:p w:rsidR="00FB67DB" w:rsidRPr="007668EF" w:rsidRDefault="00FB67DB" w:rsidP="006F66C5">
            <w:pPr>
              <w:rPr>
                <w:rFonts w:ascii="Segoe UI Semibold" w:hAnsi="Segoe UI Semibold" w:cs="Segoe UI Semibold"/>
                <w:color w:val="393939"/>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Istok</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45678</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Zapad</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23789</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Sever</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-4789</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Južni (nova kancelarija)</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0</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Centralni</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9678</w:t>
            </w:r>
          </w:p>
        </w:tc>
        <w:tc>
          <w:tcPr>
            <w:tcW w:w="0" w:type="auto"/>
            <w:shd w:val="clear" w:color="auto" w:fill="F4F4F4"/>
            <w:tcMar>
              <w:top w:w="60" w:type="dxa"/>
              <w:left w:w="150" w:type="dxa"/>
              <w:bottom w:w="60" w:type="dxa"/>
              <w:right w:w="150" w:type="dxa"/>
            </w:tcMar>
            <w:hideMark/>
          </w:tcPr>
          <w:p w:rsidR="00FB67DB" w:rsidRPr="007668EF" w:rsidRDefault="00FB67DB" w:rsidP="006F66C5">
            <w:pPr>
              <w:rPr>
                <w:rFonts w:ascii="Segoe UI" w:hAnsi="Segoe UI" w:cs="Segoe UI"/>
                <w:color w:val="1E1E1E"/>
              </w:rPr>
            </w:pP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Rezultat</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=AVERAGEIF(A2:A6;"=*zapadni";B2:B6)</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Srednja vrednost svih zarada za zapadni i centralni region</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16.733,5</w:t>
            </w:r>
          </w:p>
        </w:tc>
      </w:tr>
      <w:tr w:rsidR="00FB67DB" w:rsidRPr="007668EF" w:rsidTr="006F66C5">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=AVERAGEIF(A2:A6;"&lt;&gt;*(nova kancelarija)";B2:B6)</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Srednja vrednost svih zarada za sve regione osim novh kancelarija.</w:t>
            </w:r>
          </w:p>
        </w:tc>
        <w:tc>
          <w:tcPr>
            <w:tcW w:w="0" w:type="auto"/>
            <w:shd w:val="clear" w:color="auto" w:fill="F4F4F4"/>
            <w:tcMar>
              <w:top w:w="60" w:type="dxa"/>
              <w:left w:w="150" w:type="dxa"/>
              <w:bottom w:w="60" w:type="dxa"/>
              <w:right w:w="150" w:type="dxa"/>
            </w:tcMar>
            <w:hideMark/>
          </w:tcPr>
          <w:p w:rsidR="00FB67DB" w:rsidRPr="007668EF" w:rsidRDefault="00FB67DB" w:rsidP="006F66C5">
            <w:pPr>
              <w:pStyle w:val="NormalWeb"/>
              <w:rPr>
                <w:rFonts w:ascii="Segoe UI" w:hAnsi="Segoe UI" w:cs="Segoe UI"/>
                <w:color w:val="1E1E1E"/>
                <w:sz w:val="22"/>
                <w:szCs w:val="22"/>
              </w:rPr>
            </w:pPr>
            <w:r w:rsidRPr="007668EF">
              <w:rPr>
                <w:rFonts w:ascii="Segoe UI" w:hAnsi="Segoe UI" w:cs="Segoe UI"/>
                <w:color w:val="1E1E1E"/>
                <w:sz w:val="22"/>
                <w:szCs w:val="22"/>
              </w:rPr>
              <w:t>18589</w:t>
            </w:r>
          </w:p>
        </w:tc>
      </w:tr>
    </w:tbl>
    <w:p w:rsidR="00850106" w:rsidRDefault="00850106"/>
    <w:sectPr w:rsidR="00850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1742"/>
    <w:multiLevelType w:val="multilevel"/>
    <w:tmpl w:val="03ECF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646D5"/>
    <w:multiLevelType w:val="multilevel"/>
    <w:tmpl w:val="145A0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51016"/>
    <w:multiLevelType w:val="multilevel"/>
    <w:tmpl w:val="A3CA2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F0BD2"/>
    <w:multiLevelType w:val="multilevel"/>
    <w:tmpl w:val="4DFE8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554D5"/>
    <w:multiLevelType w:val="multilevel"/>
    <w:tmpl w:val="49BC2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02710"/>
    <w:multiLevelType w:val="multilevel"/>
    <w:tmpl w:val="92925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E0610"/>
    <w:multiLevelType w:val="multilevel"/>
    <w:tmpl w:val="680AB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DB"/>
    <w:rsid w:val="001C11C4"/>
    <w:rsid w:val="00850106"/>
    <w:rsid w:val="00FB67D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1F61"/>
  <w15:chartTrackingRefBased/>
  <w15:docId w15:val="{B0679460-E531-4F6D-9018-ECE04F0A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DB"/>
    <w:rPr>
      <w:kern w:val="2"/>
      <w:lang w:val="en-US"/>
      <w14:ligatures w14:val="standardContextual"/>
    </w:rPr>
  </w:style>
  <w:style w:type="paragraph" w:styleId="Heading2">
    <w:name w:val="heading 2"/>
    <w:basedOn w:val="Normal"/>
    <w:next w:val="Normal"/>
    <w:link w:val="Heading2Char"/>
    <w:uiPriority w:val="9"/>
    <w:semiHidden/>
    <w:unhideWhenUsed/>
    <w:qFormat/>
    <w:rsid w:val="00FB67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67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B67DB"/>
    <w:rPr>
      <w:rFonts w:asciiTheme="majorHAnsi" w:eastAsiaTheme="majorEastAsia" w:hAnsiTheme="majorHAnsi" w:cstheme="majorBidi"/>
      <w:color w:val="2E74B5" w:themeColor="accent1" w:themeShade="BF"/>
      <w:kern w:val="2"/>
      <w:sz w:val="26"/>
      <w:szCs w:val="26"/>
      <w:lang w:val="en-US"/>
      <w14:ligatures w14:val="standardContextual"/>
    </w:rPr>
  </w:style>
  <w:style w:type="character" w:customStyle="1" w:styleId="Heading3Char">
    <w:name w:val="Heading 3 Char"/>
    <w:basedOn w:val="DefaultParagraphFont"/>
    <w:link w:val="Heading3"/>
    <w:uiPriority w:val="9"/>
    <w:semiHidden/>
    <w:rsid w:val="00FB67DB"/>
    <w:rPr>
      <w:rFonts w:asciiTheme="majorHAnsi" w:eastAsiaTheme="majorEastAsia" w:hAnsiTheme="majorHAnsi" w:cstheme="majorBidi"/>
      <w:color w:val="1F4D78" w:themeColor="accent1" w:themeShade="7F"/>
      <w:kern w:val="2"/>
      <w:sz w:val="24"/>
      <w:szCs w:val="24"/>
      <w:lang w:val="en-US"/>
      <w14:ligatures w14:val="standardContextual"/>
    </w:rPr>
  </w:style>
  <w:style w:type="character" w:styleId="Hyperlink">
    <w:name w:val="Hyperlink"/>
    <w:basedOn w:val="DefaultParagraphFont"/>
    <w:uiPriority w:val="99"/>
    <w:unhideWhenUsed/>
    <w:rsid w:val="00FB67DB"/>
    <w:rPr>
      <w:color w:val="0563C1" w:themeColor="hyperlink"/>
      <w:u w:val="single"/>
    </w:rPr>
  </w:style>
  <w:style w:type="paragraph" w:styleId="NormalWeb">
    <w:name w:val="Normal (Web)"/>
    <w:basedOn w:val="Normal"/>
    <w:uiPriority w:val="99"/>
    <w:semiHidden/>
    <w:unhideWhenUsed/>
    <w:rsid w:val="00FB6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cpalertsection">
    <w:name w:val="ocpalertsection"/>
    <w:basedOn w:val="Normal"/>
    <w:rsid w:val="00FB6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sr-latn-rs/office/funkcija-clean-26f3d7c5-475f-4a9c-90e5-4b8ba987ba41" TargetMode="External"/><Relationship Id="rId3" Type="http://schemas.openxmlformats.org/officeDocument/2006/relationships/settings" Target="settings.xml"/><Relationship Id="rId7" Type="http://schemas.openxmlformats.org/officeDocument/2006/relationships/hyperlink" Target="https://support.microsoft.com/sr-latn-rs/office/funkcija-concatenate-8f8ae884-2ca8-4f7a-b093-75d702bea3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sr-latn-rs/office/countifs-funkcija-countifs-dda3dc6e-f74e-4aee-88bc-aa8c2a866842" TargetMode="External"/><Relationship Id="rId11" Type="http://schemas.openxmlformats.org/officeDocument/2006/relationships/theme" Target="theme/theme1.xml"/><Relationship Id="rId5" Type="http://schemas.openxmlformats.org/officeDocument/2006/relationships/hyperlink" Target="https://support.microsoft.com/sr-latn-rs/office/statisti%C4%8Dke-funkcije-referenca-624dac86-a375-4435-bc25-76d659719ff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microsoft.com/sr-latn-rs/office/funkcija-trim-410388fa-c5df-49c6-b16c-9e5630b479f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Krojaceva skola</dc:creator>
  <cp:keywords/>
  <dc:description/>
  <cp:lastModifiedBy>Krojaceva skola</cp:lastModifiedBy>
  <cp:revision>1</cp:revision>
  <dcterms:created xsi:type="dcterms:W3CDTF">2023-11-15T11:23:00Z</dcterms:created>
  <dcterms:modified xsi:type="dcterms:W3CDTF">2023-11-15T11:24:00Z</dcterms:modified>
</cp:coreProperties>
</file>